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543CF70F" w:rsidP="543CF70F" w:rsidRDefault="543CF70F" w14:noSpellErr="1" w14:paraId="0180B26E" w14:textId="6F09FB1B">
      <w:pPr>
        <w:pStyle w:val="Heading1"/>
      </w:pPr>
      <w:r w:rsidR="543CF70F">
        <w:rPr/>
        <w:t>Город будущего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543CF70F" w:rsidR="543CF7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543CF70F" w:rsidRDefault="543CF70F" w14:noSpellErr="1" w14:paraId="6F32DA84" w14:textId="46FAAB4A">
      <w:r w:rsidRPr="543CF70F" w:rsidR="543CF70F">
        <w:rPr>
          <w:rFonts w:ascii="Calibri" w:hAnsi="Calibri" w:eastAsia="Calibri" w:cs="Calibri"/>
          <w:i w:val="1"/>
          <w:iCs w:val="1"/>
          <w:sz w:val="22"/>
          <w:szCs w:val="22"/>
        </w:rPr>
        <w:t>Город будущего — каким он может быть? Ученые, инженеры, экологи, фантасты и футуристы в каждом поколении ломают головы над тем, как будут выглядеть города будущего — удобные и безопасные, чистые и светлые. Города-небоскребы с движением транспорта на многих уровнях или города для пешеходов, наполненные зеленью; города-острова в океане или города, парящие в воздухе над землей? Дайте волю своей фантазии и изобразите город своей мечты!</w:t>
      </w:r>
    </w:p>
    <w:p w:rsidR="252704EC" w:rsidRDefault="252704EC" w14:paraId="4B42A205" w14:textId="464528CA" w14:noSpellErr="1">
      <w:r w:rsidRPr="543CF70F" w:rsidR="543CF70F">
        <w:rPr>
          <w:rFonts w:ascii="Calibri" w:hAnsi="Calibri" w:eastAsia="Calibri" w:cs="Calibri"/>
          <w:i w:val="1"/>
          <w:iCs w:val="1"/>
          <w:sz w:val="22"/>
          <w:szCs w:val="22"/>
        </w:rPr>
        <w:t>Конкурс для школьников и дошкольников.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692BE1C5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49DA9147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72750261"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3CF70F"/>
    <w:rsid w:val="546B91A0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2016-03-04T09:38:52.9664358Z</dcterms:modified>
  <lastModifiedBy>Oleg Beshentsev</lastModifiedBy>
</coreProperties>
</file>